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440"/>
        <w:tblW w:w="12000" w:type="dxa"/>
        <w:shd w:val="clear" w:color="auto" w:fill="010066"/>
        <w:tblLook w:val="04A0" w:firstRow="1" w:lastRow="0" w:firstColumn="1" w:lastColumn="0" w:noHBand="0" w:noVBand="1"/>
      </w:tblPr>
      <w:tblGrid>
        <w:gridCol w:w="43"/>
        <w:gridCol w:w="4924"/>
        <w:gridCol w:w="4255"/>
        <w:gridCol w:w="2736"/>
        <w:gridCol w:w="42"/>
      </w:tblGrid>
      <w:tr w:rsidR="00234908" w:rsidTr="00234908">
        <w:trPr>
          <w:trHeight w:val="120"/>
        </w:trPr>
        <w:tc>
          <w:tcPr>
            <w:tcW w:w="0" w:type="auto"/>
            <w:gridSpan w:val="5"/>
            <w:shd w:val="clear" w:color="auto" w:fill="010066"/>
            <w:tcMar>
              <w:top w:w="15" w:type="dxa"/>
              <w:left w:w="15" w:type="dxa"/>
              <w:bottom w:w="15" w:type="dxa"/>
              <w:right w:w="15" w:type="dxa"/>
            </w:tcMar>
            <w:vAlign w:val="center"/>
            <w:hideMark/>
          </w:tcPr>
          <w:p w:rsidR="00234908" w:rsidRDefault="00234908" w:rsidP="00234908">
            <w:bookmarkStart w:id="0" w:name="_GoBack"/>
            <w:bookmarkEnd w:id="0"/>
          </w:p>
        </w:tc>
      </w:tr>
      <w:tr w:rsidR="00234908" w:rsidTr="00234908">
        <w:tc>
          <w:tcPr>
            <w:tcW w:w="67" w:type="dxa"/>
            <w:shd w:val="clear" w:color="auto" w:fill="010066"/>
            <w:tcMar>
              <w:top w:w="15" w:type="dxa"/>
              <w:left w:w="15" w:type="dxa"/>
              <w:bottom w:w="15" w:type="dxa"/>
              <w:right w:w="15" w:type="dxa"/>
            </w:tcMar>
            <w:vAlign w:val="center"/>
            <w:hideMark/>
          </w:tcPr>
          <w:p w:rsidR="00234908" w:rsidRDefault="00234908" w:rsidP="00234908">
            <w:pPr>
              <w:rPr>
                <w:rFonts w:eastAsia="Times New Roman"/>
                <w:sz w:val="20"/>
                <w:szCs w:val="20"/>
              </w:rPr>
            </w:pPr>
          </w:p>
        </w:tc>
        <w:tc>
          <w:tcPr>
            <w:tcW w:w="4051" w:type="dxa"/>
            <w:shd w:val="clear" w:color="auto" w:fill="E61818"/>
            <w:tcMar>
              <w:top w:w="15" w:type="dxa"/>
              <w:left w:w="15" w:type="dxa"/>
              <w:bottom w:w="15" w:type="dxa"/>
              <w:right w:w="15" w:type="dxa"/>
            </w:tcMar>
            <w:vAlign w:val="center"/>
            <w:hideMark/>
          </w:tcPr>
          <w:p w:rsidR="00234908" w:rsidRDefault="00234908" w:rsidP="00234908">
            <w:pPr>
              <w:jc w:val="center"/>
              <w:rPr>
                <w:rFonts w:eastAsia="Times New Roman"/>
              </w:rPr>
            </w:pPr>
            <w:r>
              <w:rPr>
                <w:rFonts w:eastAsia="Times New Roman"/>
                <w:noProof/>
              </w:rPr>
              <w:drawing>
                <wp:inline distT="0" distB="0" distL="0" distR="0">
                  <wp:extent cx="1905000" cy="609600"/>
                  <wp:effectExtent l="0" t="0" r="0" b="0"/>
                  <wp:docPr id="3" name="Picture 3" descr="cid: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ompany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tc>
        <w:tc>
          <w:tcPr>
            <w:tcW w:w="5279" w:type="dxa"/>
            <w:shd w:val="clear" w:color="auto" w:fill="010066"/>
            <w:tcMar>
              <w:top w:w="15" w:type="dxa"/>
              <w:left w:w="15" w:type="dxa"/>
              <w:bottom w:w="15" w:type="dxa"/>
              <w:right w:w="15" w:type="dxa"/>
            </w:tcMar>
            <w:vAlign w:val="center"/>
            <w:hideMark/>
          </w:tcPr>
          <w:p w:rsidR="00234908" w:rsidRDefault="00234908" w:rsidP="00234908">
            <w:pPr>
              <w:jc w:val="center"/>
              <w:rPr>
                <w:rFonts w:eastAsia="Times New Roman"/>
                <w:b/>
                <w:bCs/>
                <w:color w:val="FFFFFF"/>
                <w:sz w:val="36"/>
                <w:szCs w:val="36"/>
              </w:rPr>
            </w:pPr>
            <w:r>
              <w:rPr>
                <w:rFonts w:eastAsia="Times New Roman"/>
                <w:b/>
                <w:bCs/>
                <w:color w:val="FFFFFF"/>
                <w:sz w:val="36"/>
                <w:szCs w:val="36"/>
              </w:rPr>
              <w:t xml:space="preserve">Eighth round of products excluded from Section 301 </w:t>
            </w:r>
          </w:p>
        </w:tc>
        <w:tc>
          <w:tcPr>
            <w:tcW w:w="2537" w:type="dxa"/>
            <w:shd w:val="clear" w:color="auto" w:fill="010066"/>
            <w:tcMar>
              <w:top w:w="15" w:type="dxa"/>
              <w:left w:w="15" w:type="dxa"/>
              <w:bottom w:w="15" w:type="dxa"/>
              <w:right w:w="15" w:type="dxa"/>
            </w:tcMar>
            <w:vAlign w:val="bottom"/>
            <w:hideMark/>
          </w:tcPr>
          <w:p w:rsidR="00234908" w:rsidRDefault="00234908" w:rsidP="00234908">
            <w:pPr>
              <w:jc w:val="right"/>
              <w:rPr>
                <w:rFonts w:eastAsia="Times New Roman"/>
                <w:color w:val="FFFFFF"/>
                <w:sz w:val="18"/>
                <w:szCs w:val="18"/>
              </w:rPr>
            </w:pPr>
            <w:r>
              <w:rPr>
                <w:rFonts w:eastAsia="Times New Roman"/>
                <w:color w:val="FFFFFF"/>
                <w:sz w:val="18"/>
                <w:szCs w:val="18"/>
              </w:rPr>
              <w:t xml:space="preserve">08-09-2019 </w:t>
            </w:r>
          </w:p>
        </w:tc>
        <w:tc>
          <w:tcPr>
            <w:tcW w:w="66" w:type="dxa"/>
            <w:shd w:val="clear" w:color="auto" w:fill="010066"/>
            <w:tcMar>
              <w:top w:w="15" w:type="dxa"/>
              <w:left w:w="15" w:type="dxa"/>
              <w:bottom w:w="15" w:type="dxa"/>
              <w:right w:w="15" w:type="dxa"/>
            </w:tcMar>
            <w:vAlign w:val="center"/>
            <w:hideMark/>
          </w:tcPr>
          <w:p w:rsidR="00234908" w:rsidRDefault="00234908" w:rsidP="00234908">
            <w:pPr>
              <w:rPr>
                <w:rFonts w:eastAsia="Times New Roman"/>
                <w:color w:val="FFFFFF"/>
                <w:sz w:val="18"/>
                <w:szCs w:val="18"/>
              </w:rPr>
            </w:pPr>
          </w:p>
        </w:tc>
      </w:tr>
      <w:tr w:rsidR="00234908" w:rsidTr="00234908">
        <w:trPr>
          <w:trHeight w:val="60"/>
        </w:trPr>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sz w:val="20"/>
                <w:szCs w:val="20"/>
              </w:rPr>
            </w:pPr>
          </w:p>
        </w:tc>
        <w:tc>
          <w:tcPr>
            <w:tcW w:w="0" w:type="auto"/>
            <w:gridSpan w:val="3"/>
            <w:shd w:val="clear" w:color="auto" w:fill="E61818"/>
            <w:tcMar>
              <w:top w:w="15" w:type="dxa"/>
              <w:left w:w="15" w:type="dxa"/>
              <w:bottom w:w="15" w:type="dxa"/>
              <w:right w:w="15" w:type="dxa"/>
            </w:tcMar>
            <w:vAlign w:val="center"/>
            <w:hideMark/>
          </w:tcPr>
          <w:p w:rsidR="00234908" w:rsidRDefault="00234908" w:rsidP="00234908">
            <w:pPr>
              <w:rPr>
                <w:rFonts w:eastAsia="Times New Roman"/>
                <w:sz w:val="20"/>
                <w:szCs w:val="20"/>
              </w:rPr>
            </w:pPr>
          </w:p>
        </w:tc>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sz w:val="20"/>
                <w:szCs w:val="20"/>
              </w:rPr>
            </w:pPr>
          </w:p>
        </w:tc>
      </w:tr>
      <w:tr w:rsidR="00234908" w:rsidTr="00234908">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sz w:val="20"/>
                <w:szCs w:val="20"/>
              </w:rPr>
            </w:pPr>
          </w:p>
        </w:tc>
        <w:tc>
          <w:tcPr>
            <w:tcW w:w="0" w:type="auto"/>
            <w:gridSpan w:val="3"/>
            <w:shd w:val="clear" w:color="auto" w:fill="FFFFFF"/>
            <w:tcMar>
              <w:top w:w="300" w:type="dxa"/>
              <w:left w:w="300" w:type="dxa"/>
              <w:bottom w:w="300" w:type="dxa"/>
              <w:right w:w="300" w:type="dxa"/>
            </w:tcMar>
            <w:vAlign w:val="center"/>
            <w:hideMark/>
          </w:tcPr>
          <w:p w:rsidR="00234908" w:rsidRDefault="00234908" w:rsidP="00234908">
            <w:pPr>
              <w:jc w:val="center"/>
              <w:rPr>
                <w:rFonts w:eastAsia="Times New Roman"/>
                <w:b/>
                <w:bCs/>
              </w:rPr>
            </w:pPr>
            <w:r>
              <w:rPr>
                <w:rFonts w:eastAsia="Times New Roman"/>
                <w:b/>
                <w:bCs/>
              </w:rPr>
              <w:t>Information Bulletin</w:t>
            </w:r>
          </w:p>
        </w:tc>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b/>
                <w:bCs/>
              </w:rPr>
            </w:pPr>
          </w:p>
        </w:tc>
      </w:tr>
      <w:tr w:rsidR="00234908" w:rsidTr="00234908">
        <w:trPr>
          <w:trHeight w:val="6000"/>
        </w:trPr>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sz w:val="20"/>
                <w:szCs w:val="20"/>
              </w:rPr>
            </w:pPr>
          </w:p>
        </w:tc>
        <w:tc>
          <w:tcPr>
            <w:tcW w:w="0" w:type="auto"/>
            <w:gridSpan w:val="3"/>
            <w:shd w:val="clear" w:color="auto" w:fill="FFFFFF"/>
            <w:tcMar>
              <w:top w:w="300" w:type="dxa"/>
              <w:left w:w="300" w:type="dxa"/>
              <w:bottom w:w="300" w:type="dxa"/>
              <w:right w:w="300" w:type="dxa"/>
            </w:tcMar>
            <w:hideMark/>
          </w:tcPr>
          <w:p w:rsidR="00234908" w:rsidRDefault="00234908" w:rsidP="00234908">
            <w:pPr>
              <w:rPr>
                <w:rFonts w:eastAsia="Times New Roman"/>
              </w:rPr>
            </w:pPr>
            <w:r>
              <w:rPr>
                <w:rFonts w:eastAsia="Times New Roman"/>
              </w:rPr>
              <w:t>On August 7, 2019, the U.S. Trade Representative (USTR) published Federal Register (FR) Notice 84 FR 38717 announcing the decision to grant the eighth round of certain exclusion requests from the 10 percent duty, and later amended to 25 percent duty, assessed under the Section 301 investigation related to goods from China ($200B Action - Tranche 3).  The product exclusions announced in this notice will apply as of the September 24, 2018 effective date, and will extend for one year after the publication of this notice.</w:t>
            </w:r>
            <w:r>
              <w:rPr>
                <w:rFonts w:eastAsia="Times New Roman"/>
              </w:rPr>
              <w:br/>
              <w:t> </w:t>
            </w:r>
            <w:r>
              <w:rPr>
                <w:rFonts w:eastAsia="Times New Roman"/>
              </w:rPr>
              <w:br/>
              <w:t>The functionality for the acceptance of the eighth round of products of China excluded from Section 301 duties will be available in the Automated Commercial Environment (ACE) as of Noon, August 8, 2019.</w:t>
            </w:r>
            <w:r>
              <w:rPr>
                <w:rFonts w:eastAsia="Times New Roman"/>
              </w:rPr>
              <w:br/>
              <w:t> </w:t>
            </w:r>
            <w:r>
              <w:rPr>
                <w:rFonts w:eastAsia="Times New Roman"/>
              </w:rPr>
              <w:br/>
              <w:t>For reference, please see below Federal Register Notice</w:t>
            </w:r>
            <w:r>
              <w:rPr>
                <w:rFonts w:eastAsia="Times New Roman"/>
              </w:rPr>
              <w:br/>
              <w:t> </w:t>
            </w:r>
            <w:r>
              <w:rPr>
                <w:rFonts w:eastAsia="Times New Roman"/>
              </w:rPr>
              <w:br/>
            </w:r>
            <w:hyperlink r:id="rId6" w:history="1">
              <w:r>
                <w:rPr>
                  <w:rStyle w:val="Hyperlink"/>
                  <w:rFonts w:eastAsia="Times New Roman"/>
                </w:rPr>
                <w:t>https://www.federalregister.gov/documents/2019/08/07/2019-16886/notice-of-product-exclusions-chinas-acts-policies-and-practices-related-to-technology-transfer</w:t>
              </w:r>
            </w:hyperlink>
            <w:r>
              <w:rPr>
                <w:rFonts w:eastAsia="Times New Roman"/>
              </w:rPr>
              <w:br/>
              <w:t xml:space="preserve">  </w:t>
            </w:r>
          </w:p>
        </w:tc>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rPr>
            </w:pPr>
          </w:p>
        </w:tc>
      </w:tr>
      <w:tr w:rsidR="00234908" w:rsidTr="00234908">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sz w:val="20"/>
                <w:szCs w:val="20"/>
              </w:rPr>
            </w:pPr>
          </w:p>
        </w:tc>
        <w:tc>
          <w:tcPr>
            <w:tcW w:w="0" w:type="auto"/>
            <w:gridSpan w:val="3"/>
            <w:shd w:val="clear" w:color="auto" w:fill="FFFFFF"/>
            <w:tcMar>
              <w:top w:w="300" w:type="dxa"/>
              <w:left w:w="300" w:type="dxa"/>
              <w:bottom w:w="300" w:type="dxa"/>
              <w:right w:w="300" w:type="dxa"/>
            </w:tcMar>
            <w:vAlign w:val="center"/>
            <w:hideMark/>
          </w:tcPr>
          <w:p w:rsidR="00234908" w:rsidRDefault="00234908" w:rsidP="00234908">
            <w:pPr>
              <w:jc w:val="center"/>
              <w:rPr>
                <w:rFonts w:eastAsia="Times New Roman"/>
                <w:b/>
                <w:bCs/>
              </w:rPr>
            </w:pPr>
            <w:proofErr w:type="spellStart"/>
            <w:r>
              <w:rPr>
                <w:rFonts w:eastAsia="Times New Roman"/>
                <w:b/>
                <w:bCs/>
              </w:rPr>
              <w:t>Boletin</w:t>
            </w:r>
            <w:proofErr w:type="spellEnd"/>
            <w:r>
              <w:rPr>
                <w:rFonts w:eastAsia="Times New Roman"/>
                <w:b/>
                <w:bCs/>
              </w:rPr>
              <w:t xml:space="preserve"> </w:t>
            </w:r>
            <w:proofErr w:type="spellStart"/>
            <w:r>
              <w:rPr>
                <w:rFonts w:eastAsia="Times New Roman"/>
                <w:b/>
                <w:bCs/>
              </w:rPr>
              <w:t>Informativo</w:t>
            </w:r>
            <w:proofErr w:type="spellEnd"/>
          </w:p>
        </w:tc>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b/>
                <w:bCs/>
              </w:rPr>
            </w:pPr>
          </w:p>
        </w:tc>
      </w:tr>
      <w:tr w:rsidR="00234908" w:rsidTr="00234908">
        <w:trPr>
          <w:trHeight w:val="6000"/>
        </w:trPr>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sz w:val="20"/>
                <w:szCs w:val="20"/>
              </w:rPr>
            </w:pPr>
          </w:p>
        </w:tc>
        <w:tc>
          <w:tcPr>
            <w:tcW w:w="0" w:type="auto"/>
            <w:gridSpan w:val="3"/>
            <w:shd w:val="clear" w:color="auto" w:fill="FFFFFF"/>
            <w:tcMar>
              <w:top w:w="300" w:type="dxa"/>
              <w:left w:w="300" w:type="dxa"/>
              <w:bottom w:w="300" w:type="dxa"/>
              <w:right w:w="300" w:type="dxa"/>
            </w:tcMar>
            <w:hideMark/>
          </w:tcPr>
          <w:p w:rsidR="00234908" w:rsidRDefault="00234908" w:rsidP="00234908">
            <w:pPr>
              <w:pStyle w:val="NormalWeb"/>
            </w:pPr>
            <w:proofErr w:type="spellStart"/>
            <w:r>
              <w:t>Estimados</w:t>
            </w:r>
            <w:proofErr w:type="spellEnd"/>
            <w:r>
              <w:t xml:space="preserve"> </w:t>
            </w:r>
            <w:proofErr w:type="spellStart"/>
            <w:r>
              <w:t>clientes</w:t>
            </w:r>
            <w:proofErr w:type="spellEnd"/>
            <w:r>
              <w:t xml:space="preserve"> y amigos, </w:t>
            </w:r>
            <w:r>
              <w:br/>
            </w:r>
            <w:r>
              <w:br/>
              <w:t xml:space="preserve">El 7 de Agosto del 2019, el </w:t>
            </w:r>
            <w:proofErr w:type="spellStart"/>
            <w:r>
              <w:t>Representante</w:t>
            </w:r>
            <w:proofErr w:type="spellEnd"/>
            <w:r>
              <w:t xml:space="preserve"> de </w:t>
            </w:r>
            <w:proofErr w:type="spellStart"/>
            <w:r>
              <w:t>Comercio</w:t>
            </w:r>
            <w:proofErr w:type="spellEnd"/>
            <w:r>
              <w:t xml:space="preserve"> de E.U. </w:t>
            </w:r>
            <w:proofErr w:type="spellStart"/>
            <w:r>
              <w:t>publico</w:t>
            </w:r>
            <w:proofErr w:type="spellEnd"/>
            <w:r>
              <w:t xml:space="preserve"> la </w:t>
            </w:r>
            <w:proofErr w:type="spellStart"/>
            <w:r>
              <w:t>notificación</w:t>
            </w:r>
            <w:proofErr w:type="spellEnd"/>
            <w:r>
              <w:t xml:space="preserve"> 84 FR 38717 </w:t>
            </w:r>
            <w:proofErr w:type="spellStart"/>
            <w:r>
              <w:t>anunciando</w:t>
            </w:r>
            <w:proofErr w:type="spellEnd"/>
            <w:r>
              <w:t xml:space="preserve"> la </w:t>
            </w:r>
            <w:proofErr w:type="spellStart"/>
            <w:r>
              <w:t>decisión</w:t>
            </w:r>
            <w:proofErr w:type="spellEnd"/>
            <w:r>
              <w:t xml:space="preserve"> de </w:t>
            </w:r>
            <w:proofErr w:type="spellStart"/>
            <w:r>
              <w:t>otorgar</w:t>
            </w:r>
            <w:proofErr w:type="spellEnd"/>
            <w:r>
              <w:t xml:space="preserve"> </w:t>
            </w:r>
            <w:proofErr w:type="spellStart"/>
            <w:r>
              <w:t>una</w:t>
            </w:r>
            <w:proofErr w:type="spellEnd"/>
            <w:r>
              <w:t xml:space="preserve"> </w:t>
            </w:r>
            <w:proofErr w:type="spellStart"/>
            <w:r>
              <w:t>octava</w:t>
            </w:r>
            <w:proofErr w:type="spellEnd"/>
            <w:r>
              <w:t xml:space="preserve"> </w:t>
            </w:r>
            <w:proofErr w:type="spellStart"/>
            <w:r>
              <w:t>ronda</w:t>
            </w:r>
            <w:proofErr w:type="spellEnd"/>
            <w:r>
              <w:t xml:space="preserve"> de </w:t>
            </w:r>
            <w:proofErr w:type="spellStart"/>
            <w:r>
              <w:t>peticiones</w:t>
            </w:r>
            <w:proofErr w:type="spellEnd"/>
            <w:r>
              <w:t xml:space="preserve"> para la </w:t>
            </w:r>
            <w:proofErr w:type="spellStart"/>
            <w:r>
              <w:t>exclusión</w:t>
            </w:r>
            <w:proofErr w:type="spellEnd"/>
            <w:r>
              <w:t xml:space="preserve"> del 10 </w:t>
            </w:r>
            <w:proofErr w:type="spellStart"/>
            <w:r>
              <w:t>por</w:t>
            </w:r>
            <w:proofErr w:type="spellEnd"/>
            <w:r>
              <w:t xml:space="preserve"> </w:t>
            </w:r>
            <w:proofErr w:type="spellStart"/>
            <w:r>
              <w:t>ciento</w:t>
            </w:r>
            <w:proofErr w:type="spellEnd"/>
            <w:r>
              <w:t xml:space="preserve"> de </w:t>
            </w:r>
            <w:proofErr w:type="spellStart"/>
            <w:r>
              <w:t>impuesto</w:t>
            </w:r>
            <w:proofErr w:type="spellEnd"/>
            <w:r>
              <w:t xml:space="preserve">, </w:t>
            </w:r>
            <w:proofErr w:type="spellStart"/>
            <w:r>
              <w:t>luego</w:t>
            </w:r>
            <w:proofErr w:type="spellEnd"/>
            <w:r>
              <w:t xml:space="preserve"> </w:t>
            </w:r>
            <w:proofErr w:type="spellStart"/>
            <w:r>
              <w:t>modificado</w:t>
            </w:r>
            <w:proofErr w:type="spellEnd"/>
            <w:r>
              <w:t xml:space="preserve"> al 25 </w:t>
            </w:r>
            <w:proofErr w:type="spellStart"/>
            <w:r>
              <w:t>por</w:t>
            </w:r>
            <w:proofErr w:type="spellEnd"/>
            <w:r>
              <w:t xml:space="preserve"> </w:t>
            </w:r>
            <w:proofErr w:type="spellStart"/>
            <w:r>
              <w:t>ciento</w:t>
            </w:r>
            <w:proofErr w:type="spellEnd"/>
            <w:r>
              <w:t xml:space="preserve"> de </w:t>
            </w:r>
            <w:proofErr w:type="spellStart"/>
            <w:r>
              <w:t>impuesto</w:t>
            </w:r>
            <w:proofErr w:type="spellEnd"/>
            <w:r>
              <w:t xml:space="preserve">, </w:t>
            </w:r>
            <w:proofErr w:type="spellStart"/>
            <w:r>
              <w:t>aplicado</w:t>
            </w:r>
            <w:proofErr w:type="spellEnd"/>
            <w:r>
              <w:t xml:space="preserve"> a la </w:t>
            </w:r>
            <w:proofErr w:type="spellStart"/>
            <w:r>
              <w:t>investigación</w:t>
            </w:r>
            <w:proofErr w:type="spellEnd"/>
            <w:r>
              <w:t xml:space="preserve"> de la </w:t>
            </w:r>
            <w:proofErr w:type="spellStart"/>
            <w:r>
              <w:t>sección</w:t>
            </w:r>
            <w:proofErr w:type="spellEnd"/>
            <w:r>
              <w:t xml:space="preserve"> 301 para </w:t>
            </w:r>
            <w:proofErr w:type="spellStart"/>
            <w:r>
              <w:t>los</w:t>
            </w:r>
            <w:proofErr w:type="spellEnd"/>
            <w:r>
              <w:t xml:space="preserve"> </w:t>
            </w:r>
            <w:proofErr w:type="spellStart"/>
            <w:r>
              <w:t>productos</w:t>
            </w:r>
            <w:proofErr w:type="spellEnd"/>
            <w:r>
              <w:t xml:space="preserve"> de China ($200B-Tranche 3). La </w:t>
            </w:r>
            <w:proofErr w:type="spellStart"/>
            <w:r>
              <w:t>exclusión</w:t>
            </w:r>
            <w:proofErr w:type="spellEnd"/>
            <w:r>
              <w:t xml:space="preserve"> de </w:t>
            </w:r>
            <w:proofErr w:type="spellStart"/>
            <w:r>
              <w:t>productos</w:t>
            </w:r>
            <w:proofErr w:type="spellEnd"/>
            <w:r>
              <w:t xml:space="preserve"> </w:t>
            </w:r>
            <w:proofErr w:type="spellStart"/>
            <w:r>
              <w:t>anunciada</w:t>
            </w:r>
            <w:proofErr w:type="spellEnd"/>
            <w:r>
              <w:t xml:space="preserve"> </w:t>
            </w:r>
            <w:proofErr w:type="spellStart"/>
            <w:r>
              <w:t>en</w:t>
            </w:r>
            <w:proofErr w:type="spellEnd"/>
            <w:r>
              <w:t xml:space="preserve"> </w:t>
            </w:r>
            <w:proofErr w:type="spellStart"/>
            <w:r>
              <w:t>este</w:t>
            </w:r>
            <w:proofErr w:type="spellEnd"/>
            <w:r>
              <w:t xml:space="preserve"> aviso </w:t>
            </w:r>
            <w:proofErr w:type="spellStart"/>
            <w:r>
              <w:t>aplicara</w:t>
            </w:r>
            <w:proofErr w:type="spellEnd"/>
            <w:r>
              <w:t xml:space="preserve"> a </w:t>
            </w:r>
            <w:proofErr w:type="spellStart"/>
            <w:r>
              <w:t>partir</w:t>
            </w:r>
            <w:proofErr w:type="spellEnd"/>
            <w:r>
              <w:t xml:space="preserve"> del 24 de </w:t>
            </w:r>
            <w:proofErr w:type="spellStart"/>
            <w:r>
              <w:t>Septiembre</w:t>
            </w:r>
            <w:proofErr w:type="spellEnd"/>
            <w:r>
              <w:t xml:space="preserve"> del 2018 y la </w:t>
            </w:r>
            <w:proofErr w:type="spellStart"/>
            <w:r>
              <w:t>fecha</w:t>
            </w:r>
            <w:proofErr w:type="spellEnd"/>
            <w:r>
              <w:t xml:space="preserve"> </w:t>
            </w:r>
            <w:proofErr w:type="spellStart"/>
            <w:r>
              <w:t>efectiva</w:t>
            </w:r>
            <w:proofErr w:type="spellEnd"/>
            <w:r>
              <w:t xml:space="preserve"> se </w:t>
            </w:r>
            <w:proofErr w:type="spellStart"/>
            <w:r>
              <w:t>extenderá</w:t>
            </w:r>
            <w:proofErr w:type="spellEnd"/>
            <w:r>
              <w:t xml:space="preserve"> </w:t>
            </w:r>
            <w:proofErr w:type="spellStart"/>
            <w:r>
              <w:t>por</w:t>
            </w:r>
            <w:proofErr w:type="spellEnd"/>
            <w:r>
              <w:t xml:space="preserve"> un </w:t>
            </w:r>
            <w:proofErr w:type="spellStart"/>
            <w:r>
              <w:t>año</w:t>
            </w:r>
            <w:proofErr w:type="spellEnd"/>
            <w:r>
              <w:t xml:space="preserve"> </w:t>
            </w:r>
            <w:proofErr w:type="spellStart"/>
            <w:r>
              <w:t>después</w:t>
            </w:r>
            <w:proofErr w:type="spellEnd"/>
            <w:r>
              <w:t xml:space="preserve"> de la </w:t>
            </w:r>
            <w:proofErr w:type="spellStart"/>
            <w:r>
              <w:t>publicación</w:t>
            </w:r>
            <w:proofErr w:type="spellEnd"/>
            <w:r>
              <w:t xml:space="preserve"> de </w:t>
            </w:r>
            <w:proofErr w:type="spellStart"/>
            <w:r>
              <w:t>esta</w:t>
            </w:r>
            <w:proofErr w:type="spellEnd"/>
            <w:r>
              <w:t xml:space="preserve"> </w:t>
            </w:r>
            <w:proofErr w:type="spellStart"/>
            <w:r>
              <w:t>notificación</w:t>
            </w:r>
            <w:proofErr w:type="spellEnd"/>
            <w:r>
              <w:t>.</w:t>
            </w:r>
            <w:r>
              <w:br/>
            </w:r>
            <w:r>
              <w:br/>
              <w:t xml:space="preserve">La </w:t>
            </w:r>
            <w:proofErr w:type="spellStart"/>
            <w:r>
              <w:t>funcionalidad</w:t>
            </w:r>
            <w:proofErr w:type="spellEnd"/>
            <w:r>
              <w:t xml:space="preserve"> para </w:t>
            </w:r>
            <w:proofErr w:type="spellStart"/>
            <w:r>
              <w:t>aceptar</w:t>
            </w:r>
            <w:proofErr w:type="spellEnd"/>
            <w:r>
              <w:t xml:space="preserve"> </w:t>
            </w:r>
            <w:proofErr w:type="spellStart"/>
            <w:r>
              <w:t>esta</w:t>
            </w:r>
            <w:proofErr w:type="spellEnd"/>
            <w:r>
              <w:t xml:space="preserve"> </w:t>
            </w:r>
            <w:proofErr w:type="spellStart"/>
            <w:r>
              <w:t>octava</w:t>
            </w:r>
            <w:proofErr w:type="spellEnd"/>
            <w:r>
              <w:t xml:space="preserve"> </w:t>
            </w:r>
            <w:proofErr w:type="spellStart"/>
            <w:r>
              <w:t>ronda</w:t>
            </w:r>
            <w:proofErr w:type="spellEnd"/>
            <w:r>
              <w:t xml:space="preserve"> de </w:t>
            </w:r>
            <w:proofErr w:type="spellStart"/>
            <w:r>
              <w:t>productos</w:t>
            </w:r>
            <w:proofErr w:type="spellEnd"/>
            <w:r>
              <w:t xml:space="preserve"> </w:t>
            </w:r>
            <w:proofErr w:type="spellStart"/>
            <w:r>
              <w:t>excluidos</w:t>
            </w:r>
            <w:proofErr w:type="spellEnd"/>
            <w:r>
              <w:t xml:space="preserve"> de la </w:t>
            </w:r>
            <w:proofErr w:type="spellStart"/>
            <w:r>
              <w:t>sección</w:t>
            </w:r>
            <w:proofErr w:type="spellEnd"/>
            <w:r>
              <w:t xml:space="preserve"> 301, </w:t>
            </w:r>
            <w:proofErr w:type="spellStart"/>
            <w:r>
              <w:t>estará</w:t>
            </w:r>
            <w:proofErr w:type="spellEnd"/>
            <w:r>
              <w:t xml:space="preserve"> </w:t>
            </w:r>
            <w:proofErr w:type="spellStart"/>
            <w:r>
              <w:t>disponible</w:t>
            </w:r>
            <w:proofErr w:type="spellEnd"/>
            <w:r>
              <w:t xml:space="preserve"> </w:t>
            </w:r>
            <w:proofErr w:type="spellStart"/>
            <w:r>
              <w:t>en</w:t>
            </w:r>
            <w:proofErr w:type="spellEnd"/>
            <w:r>
              <w:t xml:space="preserve"> ACE a </w:t>
            </w:r>
            <w:proofErr w:type="spellStart"/>
            <w:r>
              <w:t>partir</w:t>
            </w:r>
            <w:proofErr w:type="spellEnd"/>
            <w:r>
              <w:t xml:space="preserve"> del 8 de Agosto del 2019.</w:t>
            </w:r>
            <w:r>
              <w:br/>
              <w:t xml:space="preserve">Para </w:t>
            </w:r>
            <w:proofErr w:type="spellStart"/>
            <w:r>
              <w:t>su</w:t>
            </w:r>
            <w:proofErr w:type="spellEnd"/>
            <w:r>
              <w:t xml:space="preserve"> </w:t>
            </w:r>
            <w:proofErr w:type="spellStart"/>
            <w:r>
              <w:t>referencia</w:t>
            </w:r>
            <w:proofErr w:type="spellEnd"/>
            <w:r>
              <w:t xml:space="preserve">, </w:t>
            </w:r>
            <w:proofErr w:type="spellStart"/>
            <w:r>
              <w:t>abajo</w:t>
            </w:r>
            <w:proofErr w:type="spellEnd"/>
            <w:r>
              <w:t xml:space="preserve"> la </w:t>
            </w:r>
            <w:proofErr w:type="spellStart"/>
            <w:r>
              <w:t>notificación</w:t>
            </w:r>
            <w:proofErr w:type="spellEnd"/>
            <w:r>
              <w:t xml:space="preserve"> del </w:t>
            </w:r>
            <w:proofErr w:type="spellStart"/>
            <w:r>
              <w:t>Registro</w:t>
            </w:r>
            <w:proofErr w:type="spellEnd"/>
            <w:r>
              <w:t xml:space="preserve"> Federal.</w:t>
            </w:r>
          </w:p>
          <w:p w:rsidR="00234908" w:rsidRDefault="00234908" w:rsidP="00234908">
            <w:pPr>
              <w:rPr>
                <w:rFonts w:eastAsia="Times New Roman"/>
              </w:rPr>
            </w:pPr>
            <w:hyperlink r:id="rId7" w:history="1">
              <w:r>
                <w:rPr>
                  <w:rStyle w:val="Hyperlink"/>
                  <w:rFonts w:eastAsia="Times New Roman"/>
                </w:rPr>
                <w:t>https://www.federalregister.gov/documents/2019/08/07/2019-16886/notice-of-product-exclusions-chinas-acts-policies-and-practices-related-to-technology-transfer</w:t>
              </w:r>
            </w:hyperlink>
            <w:r>
              <w:rPr>
                <w:rFonts w:eastAsia="Times New Roman"/>
              </w:rPr>
              <w:t xml:space="preserve"> </w:t>
            </w:r>
          </w:p>
        </w:tc>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rPr>
            </w:pPr>
          </w:p>
        </w:tc>
      </w:tr>
      <w:tr w:rsidR="00234908" w:rsidTr="00234908">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sz w:val="20"/>
                <w:szCs w:val="20"/>
              </w:rPr>
            </w:pPr>
          </w:p>
        </w:tc>
        <w:tc>
          <w:tcPr>
            <w:tcW w:w="0" w:type="auto"/>
            <w:gridSpan w:val="2"/>
            <w:shd w:val="clear" w:color="auto" w:fill="FFFFFF"/>
            <w:tcMar>
              <w:top w:w="300" w:type="dxa"/>
              <w:left w:w="300" w:type="dxa"/>
              <w:bottom w:w="300" w:type="dxa"/>
              <w:right w:w="300" w:type="dxa"/>
            </w:tcMar>
            <w:vAlign w:val="center"/>
            <w:hideMark/>
          </w:tcPr>
          <w:p w:rsidR="00234908" w:rsidRDefault="00234908" w:rsidP="00234908">
            <w:pPr>
              <w:pStyle w:val="NormalWeb"/>
              <w:spacing w:before="0" w:beforeAutospacing="0" w:after="0" w:afterAutospacing="0"/>
              <w:rPr>
                <w:sz w:val="20"/>
                <w:szCs w:val="20"/>
              </w:rPr>
            </w:pPr>
            <w:r>
              <w:rPr>
                <w:rFonts w:ascii="Arial" w:hAnsi="Arial" w:cs="Arial"/>
                <w:b/>
                <w:bCs/>
                <w:sz w:val="20"/>
                <w:szCs w:val="20"/>
              </w:rPr>
              <w:t> </w:t>
            </w:r>
          </w:p>
          <w:p w:rsidR="00234908" w:rsidRDefault="00234908" w:rsidP="00234908">
            <w:pPr>
              <w:pStyle w:val="NormalWeb"/>
              <w:spacing w:before="0" w:beforeAutospacing="0" w:after="0" w:afterAutospacing="0"/>
              <w:rPr>
                <w:sz w:val="20"/>
                <w:szCs w:val="20"/>
              </w:rPr>
            </w:pPr>
            <w:r>
              <w:rPr>
                <w:rFonts w:ascii="Arial" w:hAnsi="Arial" w:cs="Arial"/>
                <w:b/>
                <w:bCs/>
                <w:sz w:val="20"/>
                <w:szCs w:val="20"/>
              </w:rPr>
              <w:t>RL Jones Customhouse Brokers</w:t>
            </w:r>
          </w:p>
          <w:p w:rsidR="00234908" w:rsidRDefault="00234908" w:rsidP="00234908">
            <w:pPr>
              <w:pStyle w:val="NormalWeb"/>
              <w:spacing w:before="0" w:beforeAutospacing="0" w:after="0" w:afterAutospacing="0"/>
              <w:rPr>
                <w:sz w:val="20"/>
                <w:szCs w:val="20"/>
              </w:rPr>
            </w:pPr>
            <w:r>
              <w:rPr>
                <w:rFonts w:ascii="Arial" w:hAnsi="Arial" w:cs="Arial"/>
                <w:b/>
                <w:bCs/>
                <w:sz w:val="20"/>
                <w:szCs w:val="20"/>
              </w:rPr>
              <w:t>Ph. 760-357-3177 Fax 760-357-7028</w:t>
            </w:r>
          </w:p>
          <w:p w:rsidR="00234908" w:rsidRDefault="00234908" w:rsidP="00234908">
            <w:pPr>
              <w:pStyle w:val="NormalWeb"/>
              <w:spacing w:before="0" w:beforeAutospacing="0" w:after="0" w:afterAutospacing="0"/>
              <w:rPr>
                <w:sz w:val="20"/>
                <w:szCs w:val="20"/>
              </w:rPr>
            </w:pPr>
            <w:hyperlink r:id="rId8" w:history="1">
              <w:r>
                <w:rPr>
                  <w:rStyle w:val="Hyperlink"/>
                  <w:rFonts w:ascii="Arial" w:hAnsi="Arial" w:cs="Arial"/>
                  <w:b/>
                  <w:bCs/>
                  <w:sz w:val="20"/>
                  <w:szCs w:val="20"/>
                </w:rPr>
                <w:t>www.rljones.com</w:t>
              </w:r>
            </w:hyperlink>
          </w:p>
          <w:p w:rsidR="00234908" w:rsidRDefault="00234908" w:rsidP="00234908">
            <w:pPr>
              <w:pStyle w:val="NormalWeb"/>
              <w:spacing w:before="0" w:beforeAutospacing="0" w:after="0" w:afterAutospacing="0"/>
              <w:rPr>
                <w:sz w:val="20"/>
                <w:szCs w:val="20"/>
              </w:rPr>
            </w:pPr>
            <w:r>
              <w:rPr>
                <w:rFonts w:ascii="Arial" w:hAnsi="Arial" w:cs="Arial"/>
                <w:b/>
                <w:bCs/>
                <w:sz w:val="20"/>
                <w:szCs w:val="20"/>
              </w:rPr>
              <w:t>ISO 9001 Certified</w:t>
            </w:r>
          </w:p>
        </w:tc>
        <w:tc>
          <w:tcPr>
            <w:tcW w:w="2537" w:type="dxa"/>
            <w:shd w:val="clear" w:color="auto" w:fill="FFFFFF"/>
            <w:tcMar>
              <w:top w:w="15" w:type="dxa"/>
              <w:left w:w="15" w:type="dxa"/>
              <w:bottom w:w="15" w:type="dxa"/>
              <w:right w:w="15" w:type="dxa"/>
            </w:tcMar>
            <w:vAlign w:val="bottom"/>
            <w:hideMark/>
          </w:tcPr>
          <w:p w:rsidR="00234908" w:rsidRDefault="00234908" w:rsidP="00234908">
            <w:pPr>
              <w:jc w:val="right"/>
              <w:rPr>
                <w:rFonts w:eastAsia="Times New Roman"/>
              </w:rPr>
            </w:pPr>
            <w:r>
              <w:rPr>
                <w:rFonts w:eastAsia="Times New Roman"/>
                <w:noProof/>
              </w:rPr>
              <w:drawing>
                <wp:inline distT="0" distB="0" distL="0" distR="0">
                  <wp:extent cx="552450" cy="552450"/>
                  <wp:effectExtent l="0" t="0" r="0" b="0"/>
                  <wp:docPr id="2" name="Picture 2" descr="cid: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qrCod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rPr>
            </w:pPr>
          </w:p>
        </w:tc>
      </w:tr>
      <w:tr w:rsidR="00234908" w:rsidTr="00234908">
        <w:trPr>
          <w:trHeight w:val="360"/>
        </w:trPr>
        <w:tc>
          <w:tcPr>
            <w:tcW w:w="9397" w:type="dxa"/>
            <w:gridSpan w:val="3"/>
            <w:shd w:val="clear" w:color="auto" w:fill="010066"/>
            <w:tcMar>
              <w:top w:w="15" w:type="dxa"/>
              <w:left w:w="15" w:type="dxa"/>
              <w:bottom w:w="15" w:type="dxa"/>
              <w:right w:w="15" w:type="dxa"/>
            </w:tcMar>
            <w:vAlign w:val="center"/>
            <w:hideMark/>
          </w:tcPr>
          <w:p w:rsidR="00234908" w:rsidRDefault="00234908" w:rsidP="00234908">
            <w:pPr>
              <w:jc w:val="center"/>
              <w:rPr>
                <w:rFonts w:eastAsia="Times New Roman"/>
                <w:color w:val="FFFFFF"/>
                <w:sz w:val="18"/>
                <w:szCs w:val="18"/>
              </w:rPr>
            </w:pPr>
            <w:r>
              <w:rPr>
                <w:rFonts w:eastAsia="Times New Roman"/>
                <w:color w:val="FFFFFF"/>
                <w:sz w:val="18"/>
                <w:szCs w:val="18"/>
              </w:rPr>
              <w:t xml:space="preserve">Comments or to Unsubscribe please e-mail us at </w:t>
            </w:r>
            <w:hyperlink r:id="rId11" w:history="1">
              <w:r>
                <w:rPr>
                  <w:rStyle w:val="Hyperlink"/>
                  <w:rFonts w:eastAsia="Times New Roman"/>
                  <w:color w:val="FFFFFF"/>
                  <w:sz w:val="18"/>
                  <w:szCs w:val="18"/>
                </w:rPr>
                <w:t>customerserviceclx@rljones.us</w:t>
              </w:r>
            </w:hyperlink>
            <w:r>
              <w:rPr>
                <w:rFonts w:eastAsia="Times New Roman"/>
                <w:color w:val="FFFFFF"/>
                <w:sz w:val="18"/>
                <w:szCs w:val="18"/>
              </w:rPr>
              <w:t xml:space="preserve"> </w:t>
            </w:r>
          </w:p>
        </w:tc>
        <w:tc>
          <w:tcPr>
            <w:tcW w:w="2537" w:type="dxa"/>
            <w:shd w:val="clear" w:color="auto" w:fill="010066"/>
            <w:tcMar>
              <w:top w:w="15" w:type="dxa"/>
              <w:left w:w="15" w:type="dxa"/>
              <w:bottom w:w="15" w:type="dxa"/>
              <w:right w:w="15" w:type="dxa"/>
            </w:tcMar>
            <w:vAlign w:val="center"/>
            <w:hideMark/>
          </w:tcPr>
          <w:p w:rsidR="00234908" w:rsidRDefault="00234908" w:rsidP="00234908">
            <w:pPr>
              <w:jc w:val="right"/>
              <w:rPr>
                <w:rFonts w:eastAsia="Times New Roman"/>
              </w:rPr>
            </w:pPr>
            <w:r>
              <w:rPr>
                <w:rFonts w:eastAsia="Times New Roman"/>
                <w:noProof/>
              </w:rPr>
              <w:drawing>
                <wp:inline distT="0" distB="0" distL="0" distR="0">
                  <wp:extent cx="952500" cy="371475"/>
                  <wp:effectExtent l="0" t="0" r="0" b="9525"/>
                  <wp:docPr id="1" name="Picture 1" descr="cid:ct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tpa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0" w:type="auto"/>
            <w:shd w:val="clear" w:color="auto" w:fill="010066"/>
            <w:tcMar>
              <w:top w:w="15" w:type="dxa"/>
              <w:left w:w="15" w:type="dxa"/>
              <w:bottom w:w="15" w:type="dxa"/>
              <w:right w:w="15" w:type="dxa"/>
            </w:tcMar>
            <w:vAlign w:val="center"/>
            <w:hideMark/>
          </w:tcPr>
          <w:p w:rsidR="00234908" w:rsidRDefault="00234908" w:rsidP="00234908">
            <w:pPr>
              <w:rPr>
                <w:rFonts w:eastAsia="Times New Roman"/>
              </w:rPr>
            </w:pPr>
          </w:p>
        </w:tc>
      </w:tr>
    </w:tbl>
    <w:p w:rsidR="001B7969" w:rsidRDefault="001B7969"/>
    <w:sectPr w:rsidR="001B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E7"/>
    <w:rsid w:val="001B7969"/>
    <w:rsid w:val="00234908"/>
    <w:rsid w:val="0024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0D647-69E6-4C00-B44C-5F322179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908"/>
    <w:rPr>
      <w:color w:val="0000FF"/>
      <w:u w:val="single"/>
    </w:rPr>
  </w:style>
  <w:style w:type="paragraph" w:styleId="NormalWeb">
    <w:name w:val="Normal (Web)"/>
    <w:basedOn w:val="Normal"/>
    <w:uiPriority w:val="99"/>
    <w:semiHidden/>
    <w:unhideWhenUsed/>
    <w:rsid w:val="002349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ljones.com" TargetMode="External"/><Relationship Id="rId13" Type="http://schemas.openxmlformats.org/officeDocument/2006/relationships/image" Target="cid:ctpat" TargetMode="External"/><Relationship Id="rId3" Type="http://schemas.openxmlformats.org/officeDocument/2006/relationships/webSettings" Target="webSettings.xml"/><Relationship Id="rId7" Type="http://schemas.openxmlformats.org/officeDocument/2006/relationships/hyperlink" Target="https://www.federalregister.gov/documents/2019/08/07/2019-16886/notice-of-product-exclusions-chinas-acts-policies-and-practices-related-to-technology-transfer"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eralregister.gov/documents/2019/08/07/2019-16886/notice-of-product-exclusions-chinas-acts-policies-and-practices-related-to-technology-transfer" TargetMode="External"/><Relationship Id="rId11" Type="http://schemas.openxmlformats.org/officeDocument/2006/relationships/hyperlink" Target="mailto:customerserviceclx@rljones.us" TargetMode="External"/><Relationship Id="rId5" Type="http://schemas.openxmlformats.org/officeDocument/2006/relationships/image" Target="cid:companylogo" TargetMode="External"/><Relationship Id="rId15" Type="http://schemas.openxmlformats.org/officeDocument/2006/relationships/theme" Target="theme/theme1.xml"/><Relationship Id="rId10" Type="http://schemas.openxmlformats.org/officeDocument/2006/relationships/image" Target="cid:qrCode"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2019-08-09T23:30:00Z</dcterms:created>
  <dcterms:modified xsi:type="dcterms:W3CDTF">2019-08-09T23:31:00Z</dcterms:modified>
</cp:coreProperties>
</file>