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10868" w:type="dxa"/>
        <w:shd w:val="clear" w:color="auto" w:fill="0100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4125"/>
        <w:gridCol w:w="3024"/>
        <w:gridCol w:w="3636"/>
        <w:gridCol w:w="41"/>
      </w:tblGrid>
      <w:tr w:rsidR="00E72B72" w:rsidTr="00E72B72">
        <w:trPr>
          <w:trHeight w:val="109"/>
        </w:trPr>
        <w:tc>
          <w:tcPr>
            <w:tcW w:w="0" w:type="auto"/>
            <w:gridSpan w:val="5"/>
            <w:shd w:val="clear" w:color="auto" w:fill="0100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B72" w:rsidRDefault="00E72B72" w:rsidP="00E72B72"/>
        </w:tc>
      </w:tr>
      <w:tr w:rsidR="00E72B72" w:rsidTr="00E72B72">
        <w:tc>
          <w:tcPr>
            <w:tcW w:w="63" w:type="dxa"/>
            <w:shd w:val="clear" w:color="auto" w:fill="0100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B72" w:rsidRDefault="00E72B72" w:rsidP="00E72B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E6181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B72" w:rsidRDefault="00E72B72" w:rsidP="00E72B7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0" cy="609600"/>
                  <wp:effectExtent l="0" t="0" r="0" b="0"/>
                  <wp:docPr id="3" name="Picture 3" descr="cid:compan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compan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  <w:shd w:val="clear" w:color="auto" w:fill="0100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B72" w:rsidRDefault="00E72B72" w:rsidP="00E72B72">
            <w:pPr>
              <w:jc w:val="center"/>
              <w:rPr>
                <w:b/>
                <w:bCs/>
                <w:color w:val="FFFFFF"/>
                <w:sz w:val="33"/>
                <w:szCs w:val="33"/>
              </w:rPr>
            </w:pPr>
            <w:r>
              <w:rPr>
                <w:b/>
                <w:bCs/>
                <w:color w:val="FFFFFF"/>
                <w:sz w:val="33"/>
                <w:szCs w:val="33"/>
              </w:rPr>
              <w:t xml:space="preserve">Section 301, New China List 3 Tariff Exclusions </w:t>
            </w:r>
          </w:p>
        </w:tc>
        <w:tc>
          <w:tcPr>
            <w:tcW w:w="3233" w:type="dxa"/>
            <w:shd w:val="clear" w:color="auto" w:fill="010066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2B72" w:rsidRDefault="00E72B72" w:rsidP="00E72B72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12-03-2019 </w:t>
            </w:r>
          </w:p>
        </w:tc>
        <w:tc>
          <w:tcPr>
            <w:tcW w:w="62" w:type="dxa"/>
            <w:shd w:val="clear" w:color="auto" w:fill="0100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B72" w:rsidRDefault="00E72B72" w:rsidP="00E72B72">
            <w:pPr>
              <w:rPr>
                <w:color w:val="FFFFFF"/>
                <w:sz w:val="16"/>
                <w:szCs w:val="16"/>
              </w:rPr>
            </w:pPr>
          </w:p>
        </w:tc>
      </w:tr>
      <w:tr w:rsidR="00E72B72" w:rsidTr="00E72B72">
        <w:trPr>
          <w:trHeight w:val="54"/>
        </w:trPr>
        <w:tc>
          <w:tcPr>
            <w:tcW w:w="0" w:type="auto"/>
            <w:shd w:val="clear" w:color="auto" w:fill="0100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B72" w:rsidRDefault="00E72B72" w:rsidP="00E72B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E6181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B72" w:rsidRDefault="00E72B72" w:rsidP="00E72B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100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B72" w:rsidRDefault="00E72B72" w:rsidP="00E72B7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2B72" w:rsidTr="00E72B72">
        <w:tc>
          <w:tcPr>
            <w:tcW w:w="0" w:type="auto"/>
            <w:shd w:val="clear" w:color="auto" w:fill="0100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B72" w:rsidRDefault="00E72B72" w:rsidP="00E72B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72" w:type="dxa"/>
              <w:left w:w="272" w:type="dxa"/>
              <w:bottom w:w="272" w:type="dxa"/>
              <w:right w:w="272" w:type="dxa"/>
            </w:tcMar>
            <w:vAlign w:val="center"/>
            <w:hideMark/>
          </w:tcPr>
          <w:p w:rsidR="00E72B72" w:rsidRDefault="00E72B72" w:rsidP="00E72B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Information Bulletin</w:t>
            </w:r>
          </w:p>
        </w:tc>
        <w:tc>
          <w:tcPr>
            <w:tcW w:w="0" w:type="auto"/>
            <w:shd w:val="clear" w:color="auto" w:fill="0100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B72" w:rsidRDefault="00E72B72" w:rsidP="00E72B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72B72" w:rsidTr="00E72B72">
        <w:trPr>
          <w:trHeight w:val="5434"/>
        </w:trPr>
        <w:tc>
          <w:tcPr>
            <w:tcW w:w="0" w:type="auto"/>
            <w:shd w:val="clear" w:color="auto" w:fill="0100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B72" w:rsidRDefault="00E72B72" w:rsidP="00E72B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72" w:type="dxa"/>
              <w:left w:w="272" w:type="dxa"/>
              <w:bottom w:w="272" w:type="dxa"/>
              <w:right w:w="272" w:type="dxa"/>
            </w:tcMar>
            <w:hideMark/>
          </w:tcPr>
          <w:p w:rsidR="00E72B72" w:rsidRDefault="00E72B72" w:rsidP="00E72B72">
            <w:r>
              <w:t>Dear Friends and Customers,</w:t>
            </w:r>
            <w:r>
              <w:br/>
            </w:r>
            <w:r>
              <w:br/>
            </w:r>
            <w:r>
              <w:t>On November 29</w:t>
            </w:r>
            <w:r>
              <w:t>, 2019, the U.S. Trade Representative published Federal Register Notice 84 FR 65882 announcing the decision to grant certain exclusion requests from the 25% duty assessed on 32 HTS- goods of China (from Section 301 List 3).</w:t>
            </w:r>
            <w:r>
              <w:br/>
            </w:r>
            <w:r>
              <w:br/>
              <w:t>For reference, please see below Federal Register Notice.</w:t>
            </w:r>
            <w:r>
              <w:br/>
            </w:r>
            <w:hyperlink r:id="rId6" w:history="1">
              <w:r>
                <w:rPr>
                  <w:rStyle w:val="Hyperlink"/>
                </w:rPr>
                <w:t>https://www.federalregister.gov/documents/2019/11/29/2019-25820/notice-of-product-exclusions-chinas-acts-policies-and-practices-related-to-technology-transfer</w:t>
              </w:r>
            </w:hyperlink>
            <w:r>
              <w:br/>
            </w:r>
            <w:r>
              <w:br/>
              <w:t>The product exclusions announced in this notice will apply</w:t>
            </w:r>
            <w:r>
              <w:rPr>
                <w:color w:val="000000"/>
              </w:rPr>
              <w:t xml:space="preserve"> </w:t>
            </w:r>
            <w:r>
              <w:t>retroactively as of the September 24, 2018, effective date of the $200 billion action, to August 7, 2020.</w:t>
            </w:r>
            <w:r>
              <w:br/>
            </w:r>
            <w:r>
              <w:br/>
              <w:t>Attached you will find a summary of mentioned HTS numbers for your reference.</w:t>
            </w:r>
            <w:r>
              <w:br/>
            </w:r>
            <w:r>
              <w:br/>
              <w:t xml:space="preserve">Once CBP issues guidance and implements ACE enhancements, a Post Summary Correction (PSC) or a Protest may be submitted for a </w:t>
            </w:r>
            <w:r>
              <w:rPr>
                <w:rStyle w:val="Emphasis"/>
              </w:rPr>
              <w:t>refund.</w:t>
            </w:r>
            <w:r>
              <w:br/>
            </w:r>
            <w:r>
              <w:br/>
              <w:t>Please feel free to contact the RL Jones Compliance Department with any questions.</w:t>
            </w:r>
            <w:r>
              <w:br/>
            </w:r>
            <w:r>
              <w:br/>
              <w:t>Sincerely,</w:t>
            </w:r>
            <w:r>
              <w:br/>
            </w:r>
            <w:r>
              <w:br/>
              <w:t>RL Jones Customhouse Brokers</w:t>
            </w:r>
            <w:r>
              <w:br/>
              <w:t>Compliance Department</w:t>
            </w:r>
            <w:r>
              <w:br/>
            </w:r>
            <w:hyperlink r:id="rId7" w:history="1">
              <w:r>
                <w:rPr>
                  <w:rStyle w:val="Hyperlink"/>
                </w:rPr>
                <w:t>compliance.clx@rljones.com</w:t>
              </w:r>
            </w:hyperlink>
            <w:r>
              <w:br/>
              <w:t xml:space="preserve">(760) 357 3177 </w:t>
            </w:r>
          </w:p>
        </w:tc>
        <w:tc>
          <w:tcPr>
            <w:tcW w:w="0" w:type="auto"/>
            <w:shd w:val="clear" w:color="auto" w:fill="0100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B72" w:rsidRDefault="00E72B72" w:rsidP="00E72B72"/>
        </w:tc>
      </w:tr>
      <w:tr w:rsidR="00E72B72" w:rsidTr="00E72B72">
        <w:tc>
          <w:tcPr>
            <w:tcW w:w="0" w:type="auto"/>
            <w:shd w:val="clear" w:color="auto" w:fill="0100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B72" w:rsidRDefault="00E72B72" w:rsidP="00E72B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72" w:type="dxa"/>
              <w:left w:w="272" w:type="dxa"/>
              <w:bottom w:w="272" w:type="dxa"/>
              <w:right w:w="272" w:type="dxa"/>
            </w:tcMar>
            <w:vAlign w:val="center"/>
            <w:hideMark/>
          </w:tcPr>
          <w:p w:rsidR="00E72B72" w:rsidRDefault="00E72B72" w:rsidP="00E72B7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Boletin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Informativo</w:t>
            </w:r>
            <w:proofErr w:type="spellEnd"/>
          </w:p>
        </w:tc>
        <w:tc>
          <w:tcPr>
            <w:tcW w:w="0" w:type="auto"/>
            <w:shd w:val="clear" w:color="auto" w:fill="0100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B72" w:rsidRDefault="00E72B72" w:rsidP="00E72B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72B72" w:rsidTr="00E72B72">
        <w:trPr>
          <w:trHeight w:val="5434"/>
        </w:trPr>
        <w:tc>
          <w:tcPr>
            <w:tcW w:w="0" w:type="auto"/>
            <w:shd w:val="clear" w:color="auto" w:fill="0100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B72" w:rsidRDefault="00E72B72" w:rsidP="00E72B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tcMar>
              <w:top w:w="272" w:type="dxa"/>
              <w:left w:w="272" w:type="dxa"/>
              <w:bottom w:w="272" w:type="dxa"/>
              <w:right w:w="272" w:type="dxa"/>
            </w:tcMar>
            <w:hideMark/>
          </w:tcPr>
          <w:p w:rsidR="00E72B72" w:rsidRDefault="00E72B72" w:rsidP="00E72B72">
            <w:proofErr w:type="spellStart"/>
            <w:r>
              <w:t>Que</w:t>
            </w:r>
            <w:r>
              <w:t>ridos</w:t>
            </w:r>
            <w:proofErr w:type="spellEnd"/>
            <w:r>
              <w:t xml:space="preserve"> </w:t>
            </w:r>
            <w:proofErr w:type="spellStart"/>
            <w:r>
              <w:t>Clientes</w:t>
            </w:r>
            <w:proofErr w:type="spellEnd"/>
            <w:r>
              <w:t xml:space="preserve"> y Amigos,</w:t>
            </w:r>
            <w:r>
              <w:br/>
              <w:t> </w:t>
            </w:r>
            <w:r>
              <w:br/>
              <w:t>El 29</w:t>
            </w:r>
            <w:bookmarkStart w:id="0" w:name="_GoBack"/>
            <w:bookmarkEnd w:id="0"/>
            <w:r>
              <w:t xml:space="preserve"> de </w:t>
            </w:r>
            <w:proofErr w:type="spellStart"/>
            <w:r>
              <w:t>Noviembre</w:t>
            </w:r>
            <w:proofErr w:type="spellEnd"/>
            <w:r>
              <w:t xml:space="preserve"> del 2019, el </w:t>
            </w:r>
            <w:proofErr w:type="spellStart"/>
            <w:r>
              <w:t>Representante</w:t>
            </w:r>
            <w:proofErr w:type="spellEnd"/>
            <w:r>
              <w:t xml:space="preserve"> de </w:t>
            </w:r>
            <w:proofErr w:type="spellStart"/>
            <w:r>
              <w:t>Comercio</w:t>
            </w:r>
            <w:proofErr w:type="spellEnd"/>
            <w:r>
              <w:t xml:space="preserve"> de EE. UU. </w:t>
            </w:r>
            <w:proofErr w:type="spellStart"/>
            <w:r>
              <w:t>publicó</w:t>
            </w:r>
            <w:proofErr w:type="spellEnd"/>
            <w:r>
              <w:t xml:space="preserve"> el Aviso Federal de </w:t>
            </w:r>
            <w:proofErr w:type="spellStart"/>
            <w:r>
              <w:t>Registro</w:t>
            </w:r>
            <w:proofErr w:type="spellEnd"/>
            <w:r>
              <w:t xml:space="preserve"> 84 FR 65882 </w:t>
            </w:r>
            <w:proofErr w:type="spellStart"/>
            <w:r>
              <w:t>en</w:t>
            </w:r>
            <w:proofErr w:type="spellEnd"/>
            <w:r>
              <w:t xml:space="preserve"> el que se </w:t>
            </w:r>
            <w:proofErr w:type="spellStart"/>
            <w:r>
              <w:t>anunciaba</w:t>
            </w:r>
            <w:proofErr w:type="spellEnd"/>
            <w:r>
              <w:t xml:space="preserve"> la </w:t>
            </w:r>
            <w:proofErr w:type="spellStart"/>
            <w:r>
              <w:t>decisión</w:t>
            </w:r>
            <w:proofErr w:type="spellEnd"/>
            <w:r>
              <w:t xml:space="preserve"> de </w:t>
            </w:r>
            <w:proofErr w:type="spellStart"/>
            <w:r>
              <w:t>otorgar</w:t>
            </w:r>
            <w:proofErr w:type="spellEnd"/>
            <w:r>
              <w:t xml:space="preserve"> </w:t>
            </w:r>
            <w:proofErr w:type="spellStart"/>
            <w:r>
              <w:t>exclusión</w:t>
            </w:r>
            <w:proofErr w:type="spellEnd"/>
            <w:r>
              <w:t xml:space="preserve"> del 25% del </w:t>
            </w:r>
            <w:proofErr w:type="spellStart"/>
            <w:r>
              <w:t>arancel</w:t>
            </w:r>
            <w:proofErr w:type="spellEnd"/>
            <w:r>
              <w:t xml:space="preserve"> </w:t>
            </w:r>
            <w:proofErr w:type="spellStart"/>
            <w:r>
              <w:t>aplicado</w:t>
            </w:r>
            <w:proofErr w:type="spellEnd"/>
            <w:r>
              <w:t xml:space="preserve"> a 32 </w:t>
            </w:r>
            <w:proofErr w:type="spellStart"/>
            <w:r>
              <w:t>bienes</w:t>
            </w:r>
            <w:proofErr w:type="spellEnd"/>
            <w:r>
              <w:t xml:space="preserve"> de China (de la </w:t>
            </w:r>
            <w:proofErr w:type="spellStart"/>
            <w:r>
              <w:t>Lista</w:t>
            </w:r>
            <w:proofErr w:type="spellEnd"/>
            <w:r>
              <w:t xml:space="preserve"> 3).</w:t>
            </w:r>
            <w:r>
              <w:br/>
            </w:r>
            <w:r>
              <w:br/>
            </w:r>
            <w:r>
              <w:rPr>
                <w:lang w:val="es-MX"/>
              </w:rPr>
              <w:t>Para su referencia, abajo la notificación del Registro Federal.</w:t>
            </w:r>
            <w:r>
              <w:rPr>
                <w:lang w:val="es-MX"/>
              </w:rPr>
              <w:br/>
            </w:r>
            <w:hyperlink r:id="rId8" w:history="1">
              <w:r>
                <w:rPr>
                  <w:rStyle w:val="Hyperlink"/>
                  <w:lang w:val="es-MX"/>
                </w:rPr>
                <w:t>https://www.federalregister.gov/documents/2019/11/29/2019-25820/notice-of-product-exclusions-chinas-acts-policies-and-practices-related-to-technology-transfer</w:t>
              </w:r>
            </w:hyperlink>
            <w:r>
              <w:rPr>
                <w:lang w:val="es-MX"/>
              </w:rPr>
              <w:br/>
              <w:t> </w:t>
            </w:r>
            <w:r>
              <w:rPr>
                <w:lang w:val="es-MX"/>
              </w:rPr>
              <w:br/>
              <w:t>Las exclusiones de productos anunciadas en este aviso se aplicarán retroactivamente a partir del 24 de Septiembre del 2018 y se extenderán por un año después de la publicación de este aviso.</w:t>
            </w:r>
            <w:r>
              <w:rPr>
                <w:lang w:val="es-MX"/>
              </w:rPr>
              <w:br/>
              <w:t> </w:t>
            </w:r>
            <w:r>
              <w:rPr>
                <w:lang w:val="es-MX"/>
              </w:rPr>
              <w:br/>
            </w:r>
            <w:proofErr w:type="spellStart"/>
            <w:r>
              <w:t>Adjunto</w:t>
            </w:r>
            <w:proofErr w:type="spellEnd"/>
            <w:r>
              <w:t xml:space="preserve"> </w:t>
            </w:r>
            <w:proofErr w:type="spellStart"/>
            <w:r>
              <w:t>encontrarán</w:t>
            </w:r>
            <w:proofErr w:type="spellEnd"/>
            <w:r>
              <w:t xml:space="preserve"> para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referencia</w:t>
            </w:r>
            <w:proofErr w:type="spellEnd"/>
            <w:r>
              <w:t xml:space="preserve"> un </w:t>
            </w:r>
            <w:proofErr w:type="spellStart"/>
            <w:r>
              <w:t>resumen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números</w:t>
            </w:r>
            <w:proofErr w:type="spellEnd"/>
            <w:r>
              <w:t xml:space="preserve"> HTS </w:t>
            </w:r>
            <w:proofErr w:type="spellStart"/>
            <w:r>
              <w:t>incluidos</w:t>
            </w:r>
            <w:proofErr w:type="spellEnd"/>
            <w:r>
              <w:t>.</w:t>
            </w:r>
            <w:r>
              <w:br/>
              <w:t> </w:t>
            </w:r>
            <w:r>
              <w:br/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vez</w:t>
            </w:r>
            <w:proofErr w:type="spellEnd"/>
            <w:r>
              <w:t xml:space="preserve"> que CBP </w:t>
            </w:r>
            <w:proofErr w:type="spellStart"/>
            <w:r>
              <w:t>emita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guía</w:t>
            </w:r>
            <w:proofErr w:type="spellEnd"/>
            <w:r>
              <w:t xml:space="preserve"> e </w:t>
            </w:r>
            <w:proofErr w:type="spellStart"/>
            <w:r>
              <w:t>implemente</w:t>
            </w:r>
            <w:proofErr w:type="spellEnd"/>
            <w:r>
              <w:t xml:space="preserve"> </w:t>
            </w:r>
            <w:proofErr w:type="spellStart"/>
            <w:r>
              <w:t>mejoras</w:t>
            </w:r>
            <w:proofErr w:type="spellEnd"/>
            <w:r>
              <w:t xml:space="preserve"> de ACE, se </w:t>
            </w:r>
            <w:proofErr w:type="spellStart"/>
            <w:r>
              <w:t>puede</w:t>
            </w:r>
            <w:proofErr w:type="spellEnd"/>
            <w:r>
              <w:t xml:space="preserve"> </w:t>
            </w:r>
            <w:proofErr w:type="spellStart"/>
            <w:r>
              <w:t>enviar</w:t>
            </w:r>
            <w:proofErr w:type="spellEnd"/>
            <w:r>
              <w:t xml:space="preserve"> un Post Summary Correction (PSC) o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Protesta</w:t>
            </w:r>
            <w:proofErr w:type="spellEnd"/>
            <w:r>
              <w:t xml:space="preserve"> para </w:t>
            </w:r>
            <w:proofErr w:type="spellStart"/>
            <w:r>
              <w:t>obtener</w:t>
            </w:r>
            <w:proofErr w:type="spellEnd"/>
            <w:r>
              <w:t xml:space="preserve"> un </w:t>
            </w:r>
            <w:proofErr w:type="spellStart"/>
            <w:r>
              <w:t>reembolso</w:t>
            </w:r>
            <w:proofErr w:type="spellEnd"/>
            <w:r>
              <w:t>.</w:t>
            </w:r>
            <w:r>
              <w:br/>
              <w:t> </w:t>
            </w:r>
            <w:r>
              <w:br/>
              <w:t xml:space="preserve">No dude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comunicarse</w:t>
            </w:r>
            <w:proofErr w:type="spellEnd"/>
            <w:r>
              <w:t xml:space="preserve"> con el </w:t>
            </w:r>
            <w:proofErr w:type="spellStart"/>
            <w:r>
              <w:t>Departamento</w:t>
            </w:r>
            <w:proofErr w:type="spellEnd"/>
            <w:r>
              <w:t xml:space="preserve"> de Compliance de RL Jones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caso</w:t>
            </w:r>
            <w:proofErr w:type="spellEnd"/>
            <w:r>
              <w:t xml:space="preserve"> de </w:t>
            </w:r>
            <w:proofErr w:type="spellStart"/>
            <w:r>
              <w:t>tener</w:t>
            </w:r>
            <w:proofErr w:type="spellEnd"/>
            <w:r>
              <w:t xml:space="preserve"> </w:t>
            </w:r>
            <w:proofErr w:type="spellStart"/>
            <w:r>
              <w:t>preguntas</w:t>
            </w:r>
            <w:proofErr w:type="spellEnd"/>
            <w:r>
              <w:t>.</w:t>
            </w:r>
            <w:r>
              <w:br/>
              <w:t> </w:t>
            </w:r>
            <w:r>
              <w:br/>
            </w:r>
            <w:proofErr w:type="spellStart"/>
            <w:r>
              <w:t>Atentamente</w:t>
            </w:r>
            <w:proofErr w:type="spellEnd"/>
            <w:r>
              <w:t>,</w:t>
            </w:r>
            <w:r>
              <w:br/>
              <w:t xml:space="preserve">  </w:t>
            </w:r>
          </w:p>
        </w:tc>
        <w:tc>
          <w:tcPr>
            <w:tcW w:w="0" w:type="auto"/>
            <w:shd w:val="clear" w:color="auto" w:fill="0100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B72" w:rsidRDefault="00E72B72" w:rsidP="00E72B72"/>
        </w:tc>
      </w:tr>
      <w:tr w:rsidR="00E72B72" w:rsidTr="00E72B72">
        <w:tc>
          <w:tcPr>
            <w:tcW w:w="0" w:type="auto"/>
            <w:shd w:val="clear" w:color="auto" w:fill="0100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B72" w:rsidRDefault="00E72B72" w:rsidP="00E72B7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272" w:type="dxa"/>
              <w:left w:w="272" w:type="dxa"/>
              <w:bottom w:w="272" w:type="dxa"/>
              <w:right w:w="272" w:type="dxa"/>
            </w:tcMar>
            <w:vAlign w:val="center"/>
            <w:hideMark/>
          </w:tcPr>
          <w:p w:rsidR="00E72B72" w:rsidRDefault="00E72B72" w:rsidP="00E72B7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E72B72" w:rsidRDefault="00E72B72" w:rsidP="00E72B7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RL Jones Customhouse Brokers</w:t>
            </w:r>
          </w:p>
          <w:p w:rsidR="00E72B72" w:rsidRDefault="00E72B72" w:rsidP="00E72B7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Ph. 760-357-3177 Fax 760-357-7028</w:t>
            </w:r>
          </w:p>
          <w:p w:rsidR="00E72B72" w:rsidRDefault="00E72B72" w:rsidP="00E72B7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www.rljones.com</w:t>
              </w:r>
            </w:hyperlink>
          </w:p>
          <w:p w:rsidR="00E72B72" w:rsidRDefault="00E72B72" w:rsidP="00E72B7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ISO 9001 Certified</w:t>
            </w:r>
          </w:p>
        </w:tc>
        <w:tc>
          <w:tcPr>
            <w:tcW w:w="323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72B72" w:rsidRDefault="00E72B72" w:rsidP="00E72B7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2450" cy="552450"/>
                  <wp:effectExtent l="0" t="0" r="0" b="0"/>
                  <wp:docPr id="2" name="Picture 2" descr="cid: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100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B72" w:rsidRDefault="00E72B72" w:rsidP="00E72B72"/>
        </w:tc>
      </w:tr>
      <w:tr w:rsidR="00E72B72" w:rsidTr="00E72B72">
        <w:trPr>
          <w:trHeight w:val="326"/>
        </w:trPr>
        <w:tc>
          <w:tcPr>
            <w:tcW w:w="7573" w:type="dxa"/>
            <w:gridSpan w:val="3"/>
            <w:shd w:val="clear" w:color="auto" w:fill="0100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B72" w:rsidRDefault="00E72B72" w:rsidP="00E72B7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Comments or to Unsubscribe please e-mail us at </w:t>
            </w:r>
            <w:hyperlink r:id="rId12" w:history="1">
              <w:r>
                <w:rPr>
                  <w:rStyle w:val="Hyperlink"/>
                  <w:color w:val="FFFFFF"/>
                  <w:sz w:val="16"/>
                  <w:szCs w:val="16"/>
                </w:rPr>
                <w:t>customerserviceclx@rljones.com</w:t>
              </w:r>
            </w:hyperlink>
            <w:r>
              <w:rPr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3233" w:type="dxa"/>
            <w:shd w:val="clear" w:color="auto" w:fill="0100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B72" w:rsidRDefault="00E72B72" w:rsidP="00E72B7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666875" cy="371475"/>
                  <wp:effectExtent l="0" t="0" r="9525" b="9525"/>
                  <wp:docPr id="1" name="Picture 1" descr="cid:ctp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ctp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100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B72" w:rsidRDefault="00E72B72" w:rsidP="00E72B72"/>
        </w:tc>
      </w:tr>
    </w:tbl>
    <w:p w:rsidR="006A5D49" w:rsidRDefault="006A5D49"/>
    <w:sectPr w:rsidR="006A5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17"/>
    <w:rsid w:val="006A5D49"/>
    <w:rsid w:val="00BE4717"/>
    <w:rsid w:val="00E7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4445"/>
  <w15:chartTrackingRefBased/>
  <w15:docId w15:val="{3F233747-7432-47D3-A599-D00CC720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B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2B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2B7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72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19/11/29/2019-25820/notice-of-product-exclusions-chinas-acts-policies-and-practices-related-to-technology-transfer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compliance.clx@rljones.com" TargetMode="External"/><Relationship Id="rId12" Type="http://schemas.openxmlformats.org/officeDocument/2006/relationships/hyperlink" Target="mailto:customerserviceclx@rljones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ederalregister.gov/documents/2019/11/29/2019-25820/notice-of-product-exclusions-chinas-acts-policies-and-practices-related-to-technology-transfer" TargetMode="External"/><Relationship Id="rId11" Type="http://schemas.openxmlformats.org/officeDocument/2006/relationships/image" Target="cid:qrCode" TargetMode="External"/><Relationship Id="rId5" Type="http://schemas.openxmlformats.org/officeDocument/2006/relationships/image" Target="cid:companylog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://www.rljones.com" TargetMode="External"/><Relationship Id="rId14" Type="http://schemas.openxmlformats.org/officeDocument/2006/relationships/image" Target="cid:ct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2019-12-04T14:17:00Z</dcterms:created>
  <dcterms:modified xsi:type="dcterms:W3CDTF">2019-12-04T14:18:00Z</dcterms:modified>
</cp:coreProperties>
</file>